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pPr>
    </w:p>
    <w:p>
      <w:pPr>
        <w:pStyle w:val="style0"/>
        <w:spacing w:lineRule="auto" w:line="480"/>
        <w:jc w:val="center"/>
        <w:rPr/>
      </w:pPr>
    </w:p>
    <w:p>
      <w:pPr>
        <w:pStyle w:val="style0"/>
        <w:spacing w:lineRule="auto" w:line="480"/>
        <w:jc w:val="center"/>
        <w:rPr/>
      </w:pPr>
    </w:p>
    <w:p>
      <w:pPr>
        <w:pStyle w:val="style0"/>
        <w:spacing w:lineRule="auto" w:line="480"/>
        <w:jc w:val="center"/>
        <w:rPr/>
      </w:pPr>
    </w:p>
    <w:p>
      <w:pPr>
        <w:pStyle w:val="style0"/>
        <w:spacing w:lineRule="auto" w:line="480"/>
        <w:jc w:val="center"/>
        <w:rPr/>
      </w:pPr>
    </w:p>
    <w:p>
      <w:pPr>
        <w:pStyle w:val="style0"/>
        <w:spacing w:lineRule="auto" w:line="480"/>
        <w:jc w:val="center"/>
        <w:rPr/>
      </w:pPr>
    </w:p>
    <w:p>
      <w:pPr>
        <w:pStyle w:val="style0"/>
        <w:spacing w:lineRule="auto" w:line="480"/>
        <w:jc w:val="center"/>
        <w:rPr/>
      </w:pPr>
      <w:r>
        <w:t>Case Study: Diabetes Mellitus Type 2</w:t>
      </w:r>
    </w:p>
    <w:p>
      <w:pPr>
        <w:pStyle w:val="style0"/>
        <w:spacing w:lineRule="auto" w:line="480"/>
        <w:jc w:val="center"/>
        <w:rPr/>
      </w:pPr>
      <w:r>
        <w:t>Name</w:t>
      </w:r>
    </w:p>
    <w:p>
      <w:pPr>
        <w:pStyle w:val="style0"/>
        <w:spacing w:lineRule="auto" w:line="480"/>
        <w:jc w:val="center"/>
        <w:rPr/>
      </w:pPr>
      <w:r>
        <w:t xml:space="preserve">Department </w:t>
      </w:r>
    </w:p>
    <w:p>
      <w:pPr>
        <w:pStyle w:val="style0"/>
        <w:spacing w:lineRule="auto" w:line="480"/>
        <w:jc w:val="center"/>
        <w:rPr/>
      </w:pPr>
      <w:r>
        <w:t>Course Name</w:t>
      </w:r>
    </w:p>
    <w:p>
      <w:pPr>
        <w:pStyle w:val="style0"/>
        <w:spacing w:lineRule="auto" w:line="480"/>
        <w:jc w:val="center"/>
        <w:rPr/>
      </w:pPr>
      <w:r>
        <w:t>Professor</w:t>
      </w:r>
    </w:p>
    <w:p>
      <w:pPr>
        <w:pStyle w:val="style0"/>
        <w:spacing w:lineRule="auto" w:line="480"/>
        <w:jc w:val="center"/>
        <w:rPr/>
      </w:pPr>
      <w:r>
        <w:t>Date</w:t>
      </w:r>
    </w:p>
    <w:p>
      <w:pPr>
        <w:pStyle w:val="style0"/>
        <w:spacing w:lineRule="auto" w:line="480"/>
        <w:rPr/>
      </w:pPr>
      <w:r>
        <w:br w:type="page"/>
      </w:r>
    </w:p>
    <w:p>
      <w:pPr>
        <w:pStyle w:val="style0"/>
        <w:spacing w:lineRule="auto" w:line="480"/>
        <w:ind w:firstLine="720"/>
        <w:rPr>
          <w:b/>
        </w:rPr>
      </w:pPr>
      <w:r>
        <w:rPr>
          <w:b/>
        </w:rPr>
        <w:t>CASE STUDY: DIABETES MELLITUS TYPE 2</w:t>
      </w:r>
    </w:p>
    <w:bookmarkStart w:id="0" w:name="_GoBack"/>
    <w:bookmarkEnd w:id="0"/>
    <w:p>
      <w:pPr>
        <w:pStyle w:val="style0"/>
        <w:spacing w:lineRule="auto" w:line="480"/>
        <w:ind w:firstLine="720"/>
        <w:rPr>
          <w:b/>
        </w:rPr>
      </w:pPr>
      <w:r>
        <w:rPr>
          <w:b/>
        </w:rPr>
        <w:t>PATHOPHYSIOLOGY</w:t>
      </w:r>
    </w:p>
    <w:p>
      <w:pPr>
        <w:pStyle w:val="style0"/>
        <w:spacing w:after="0" w:lineRule="auto" w:line="480"/>
        <w:ind w:firstLine="720"/>
        <w:rPr>
          <w:rFonts w:cs="Times New Roman" w:eastAsia="Times New Roman"/>
          <w:color w:val="0e101a"/>
          <w:szCs w:val="24"/>
        </w:rPr>
      </w:pPr>
      <w:r>
        <w:rPr>
          <w:rFonts w:cs="Times New Roman" w:eastAsia="Times New Roman"/>
          <w:color w:val="0e101a"/>
          <w:szCs w:val="24"/>
        </w:rPr>
        <w:t xml:space="preserve">Genetic factors contribute to the pathogenesis of diabetes mellitus type 2. The concordance rate between dizygotic twins and monozygotic twins shows that type 2 diabetes is associated with a family history of diabetes. Once gene abnormalities emerge in the molecules regulating glucose metabolism, type 2 diabetes is formed. The analyses of an individual's genes dedicated to glucose-stimulated insulin secretion of pancreatic β cells and molecules involved in insulin action mechanisms can be independent causes of type 2 diabetes. They include mitochondrial genes, insulin receptors genes, and </w:t>
      </w:r>
      <w:r>
        <w:rPr>
          <w:rFonts w:cs="Times New Roman" w:eastAsia="Times New Roman"/>
          <w:color w:val="0e101a"/>
          <w:szCs w:val="24"/>
        </w:rPr>
        <w:t>glucokinase</w:t>
      </w:r>
      <w:r>
        <w:rPr>
          <w:rFonts w:cs="Times New Roman" w:eastAsia="Times New Roman"/>
          <w:color w:val="0e101a"/>
          <w:szCs w:val="24"/>
        </w:rPr>
        <w:t xml:space="preserve"> genes (</w:t>
      </w:r>
      <w:r>
        <w:rPr>
          <w:rFonts w:cs="Times New Roman" w:eastAsia="Times New Roman"/>
          <w:color w:val="0e101a"/>
          <w:szCs w:val="24"/>
        </w:rPr>
        <w:t>Jehan</w:t>
      </w:r>
      <w:r>
        <w:rPr>
          <w:rFonts w:cs="Times New Roman" w:eastAsia="Times New Roman"/>
          <w:color w:val="0e101a"/>
          <w:szCs w:val="24"/>
        </w:rPr>
        <w:t xml:space="preserve"> et al., 2018).</w:t>
      </w:r>
    </w:p>
    <w:p>
      <w:pPr>
        <w:pStyle w:val="style0"/>
        <w:spacing w:after="0" w:lineRule="auto" w:line="480"/>
        <w:rPr>
          <w:rFonts w:cs="Times New Roman" w:eastAsia="Times New Roman"/>
          <w:color w:val="0e101a"/>
          <w:szCs w:val="24"/>
        </w:rPr>
      </w:pPr>
      <w:r>
        <w:rPr>
          <w:rFonts w:cs="Times New Roman" w:eastAsia="Times New Roman"/>
          <w:color w:val="0e101a"/>
          <w:szCs w:val="24"/>
        </w:rPr>
        <w:t>Environmental factors such as obesity, alcohol consumption, aging, smoking, etc., are other causes of type 2 diabetes. Visceral fat obesity is associated with lack of exercise, inducing significant muscle loss actuating insulin resistance prevalent to middle- and remarkably- aged patients. Changes in dietary energy sources where there is a high intake of fat-rich foods and decline of starch intake, decrease in fiber intake and a significant increase in simple sugars consumption contribute to obesity and a sharp decline of glucose tolerance.</w:t>
      </w:r>
    </w:p>
    <w:p>
      <w:pPr>
        <w:pStyle w:val="style0"/>
        <w:spacing w:after="0" w:lineRule="auto" w:line="480"/>
        <w:rPr>
          <w:rFonts w:cs="Times New Roman" w:eastAsia="Times New Roman"/>
          <w:color w:val="0e101a"/>
          <w:szCs w:val="24"/>
        </w:rPr>
      </w:pPr>
      <w:r>
        <w:rPr>
          <w:rFonts w:cs="Times New Roman" w:eastAsia="Times New Roman"/>
          <w:color w:val="0e101a"/>
          <w:szCs w:val="24"/>
        </w:rPr>
        <w:t xml:space="preserve">Impaired insulin secretion is reduced glucose responsiveness which occurs during the clinical inception of type 2 diabetes. Poor glucose tolerance (IGT) develops through a decrease in glucose-responsive early-phase insulin secretion, and a significant decline of additional insulin secretion develops postprandial hyperglycemia. Studies show that oral glucose tolerance test (OGTT) in IGT cases indicates over-response in Hispanic and Western individuals with high insulin resistance. On the other hand, Japanese patients respond differently to this test showing indications of decreased insulin secretion. Impaired insulin secretion is a progressive condition </w:t>
      </w:r>
      <w:r>
        <w:rPr>
          <w:rFonts w:cs="Times New Roman" w:eastAsia="Times New Roman"/>
          <w:color w:val="0e101a"/>
          <w:szCs w:val="24"/>
        </w:rPr>
        <w:t xml:space="preserve">involving </w:t>
      </w:r>
      <w:r>
        <w:rPr>
          <w:rFonts w:cs="Times New Roman" w:eastAsia="Times New Roman"/>
          <w:color w:val="0e101a"/>
          <w:szCs w:val="24"/>
        </w:rPr>
        <w:t>lipo</w:t>
      </w:r>
      <w:r>
        <w:rPr>
          <w:rFonts w:cs="Times New Roman" w:eastAsia="Times New Roman"/>
          <w:color w:val="0e101a"/>
          <w:szCs w:val="24"/>
        </w:rPr>
        <w:t>-toxicity and glucose toxicity. When left untreated, these toxicities lead to inactive pancreatic β cells, and in turn, long-term control of blood glucose is greatly affected.</w:t>
      </w:r>
    </w:p>
    <w:p>
      <w:pPr>
        <w:pStyle w:val="style0"/>
        <w:spacing w:after="0" w:lineRule="auto" w:line="480"/>
        <w:rPr>
          <w:rFonts w:cs="Times New Roman" w:eastAsia="Times New Roman"/>
          <w:color w:val="0e101a"/>
          <w:szCs w:val="24"/>
        </w:rPr>
      </w:pPr>
      <w:r>
        <w:rPr>
          <w:rFonts w:cs="Times New Roman" w:eastAsia="Times New Roman"/>
          <w:color w:val="0e101a"/>
          <w:szCs w:val="24"/>
        </w:rPr>
        <w:t xml:space="preserve">Insulin resistance is a condition where insulin insufficiently exerts action proportional to blood concentration. The liver and muscles exhibit impaired insulin action, a clear pathophysiological indication of type 2 diabetes. Insulin resistance develops and advances rapidly before the disease onset. Conclusions drawn show free fatty acids, </w:t>
      </w:r>
      <w:r>
        <w:rPr>
          <w:rFonts w:cs="Times New Roman" w:eastAsia="Times New Roman"/>
          <w:color w:val="0e101a"/>
          <w:szCs w:val="24"/>
        </w:rPr>
        <w:t>leptin</w:t>
      </w:r>
      <w:r>
        <w:rPr>
          <w:rFonts w:cs="Times New Roman" w:eastAsia="Times New Roman"/>
          <w:color w:val="0e101a"/>
          <w:szCs w:val="24"/>
        </w:rPr>
        <w:t xml:space="preserve">, and </w:t>
      </w:r>
      <w:r>
        <w:rPr>
          <w:rFonts w:cs="Times New Roman" w:eastAsia="Times New Roman"/>
          <w:color w:val="0e101a"/>
          <w:szCs w:val="24"/>
        </w:rPr>
        <w:t>resistin</w:t>
      </w:r>
      <w:r>
        <w:rPr>
          <w:rFonts w:cs="Times New Roman" w:eastAsia="Times New Roman"/>
          <w:color w:val="0e101a"/>
          <w:szCs w:val="24"/>
        </w:rPr>
        <w:t xml:space="preserve"> act to increase resistance, but </w:t>
      </w:r>
      <w:r>
        <w:rPr>
          <w:rFonts w:cs="Times New Roman" w:eastAsia="Times New Roman"/>
          <w:color w:val="0e101a"/>
          <w:szCs w:val="24"/>
        </w:rPr>
        <w:t>adiponectin</w:t>
      </w:r>
      <w:r>
        <w:rPr>
          <w:rFonts w:cs="Times New Roman" w:eastAsia="Times New Roman"/>
          <w:color w:val="0e101a"/>
          <w:szCs w:val="24"/>
        </w:rPr>
        <w:t xml:space="preserve"> improves insulin resistance.</w:t>
      </w:r>
    </w:p>
    <w:p>
      <w:pPr>
        <w:pStyle w:val="style0"/>
        <w:spacing w:after="0" w:lineRule="auto" w:line="480"/>
        <w:ind w:firstLine="360"/>
        <w:rPr>
          <w:rFonts w:cs="Times New Roman" w:eastAsia="Times New Roman"/>
          <w:color w:val="0e101a"/>
          <w:szCs w:val="24"/>
        </w:rPr>
      </w:pPr>
      <w:r>
        <w:rPr>
          <w:rFonts w:cs="Times New Roman" w:eastAsia="Times New Roman"/>
          <w:b/>
          <w:bCs/>
          <w:color w:val="0e101a"/>
          <w:szCs w:val="24"/>
        </w:rPr>
        <w:t>PLAN:</w:t>
      </w:r>
    </w:p>
    <w:p>
      <w:pPr>
        <w:pStyle w:val="style0"/>
        <w:spacing w:after="0" w:lineRule="auto" w:line="480"/>
        <w:ind w:firstLine="360"/>
        <w:rPr>
          <w:rFonts w:cs="Times New Roman" w:eastAsia="Times New Roman"/>
          <w:color w:val="0e101a"/>
          <w:szCs w:val="24"/>
        </w:rPr>
      </w:pPr>
      <w:r>
        <w:rPr>
          <w:rFonts w:cs="Times New Roman" w:eastAsia="Times New Roman"/>
          <w:b/>
          <w:bCs/>
          <w:color w:val="0e101a"/>
          <w:szCs w:val="24"/>
        </w:rPr>
        <w:t>Differential Diagnosis</w:t>
      </w:r>
    </w:p>
    <w:p>
      <w:pPr>
        <w:pStyle w:val="style0"/>
        <w:numPr>
          <w:ilvl w:val="0"/>
          <w:numId w:val="1"/>
        </w:numPr>
        <w:spacing w:after="0" w:lineRule="auto" w:line="480"/>
        <w:rPr>
          <w:rFonts w:cs="Times New Roman" w:eastAsia="Times New Roman"/>
          <w:color w:val="0e101a"/>
          <w:szCs w:val="24"/>
        </w:rPr>
      </w:pPr>
      <w:r>
        <w:rPr>
          <w:rFonts w:cs="Times New Roman" w:eastAsia="Times New Roman"/>
          <w:color w:val="0e101a"/>
          <w:szCs w:val="24"/>
        </w:rPr>
        <w:t xml:space="preserve">Differential diagnosis I- the patient shows indications of weight loss and fatigue with blood glucose levels abnormally high. The patient has blurred vision, polyuria, polyphagia, and polydipsia. Other symptoms include </w:t>
      </w:r>
      <w:r>
        <w:rPr>
          <w:rFonts w:cs="Times New Roman" w:eastAsia="Times New Roman"/>
          <w:color w:val="0e101a"/>
          <w:szCs w:val="24"/>
        </w:rPr>
        <w:t>balanitis</w:t>
      </w:r>
      <w:r>
        <w:rPr>
          <w:rFonts w:cs="Times New Roman" w:eastAsia="Times New Roman"/>
          <w:color w:val="0e101a"/>
          <w:szCs w:val="24"/>
        </w:rPr>
        <w:t xml:space="preserve"> in males, yeast infection in females, slow-healing wounds, and lower-extremity </w:t>
      </w:r>
      <w:r>
        <w:rPr>
          <w:rFonts w:cs="Times New Roman" w:eastAsia="Times New Roman"/>
          <w:color w:val="0e101a"/>
          <w:szCs w:val="24"/>
        </w:rPr>
        <w:t>paresthesias</w:t>
      </w:r>
      <w:r>
        <w:rPr>
          <w:rFonts w:cs="Times New Roman" w:eastAsia="Times New Roman"/>
          <w:color w:val="0e101a"/>
          <w:szCs w:val="24"/>
        </w:rPr>
        <w:t>.</w:t>
      </w:r>
    </w:p>
    <w:p>
      <w:pPr>
        <w:pStyle w:val="style0"/>
        <w:numPr>
          <w:ilvl w:val="0"/>
          <w:numId w:val="1"/>
        </w:numPr>
        <w:spacing w:after="0" w:lineRule="auto" w:line="480"/>
        <w:rPr>
          <w:rFonts w:cs="Times New Roman" w:eastAsia="Times New Roman"/>
          <w:color w:val="0e101a"/>
          <w:szCs w:val="24"/>
        </w:rPr>
      </w:pPr>
      <w:r>
        <w:rPr>
          <w:rFonts w:cs="Times New Roman" w:eastAsia="Times New Roman"/>
          <w:color w:val="0e101a"/>
          <w:szCs w:val="24"/>
        </w:rPr>
        <w:t xml:space="preserve">Differential diagnosis II- metabolic syndrome is diagnosed in patients with </w:t>
      </w:r>
      <w:r>
        <w:rPr>
          <w:rFonts w:cs="Times New Roman" w:eastAsia="Times New Roman"/>
          <w:color w:val="0e101a"/>
          <w:szCs w:val="24"/>
        </w:rPr>
        <w:t>prediabetes</w:t>
      </w:r>
      <w:r>
        <w:rPr>
          <w:rFonts w:cs="Times New Roman" w:eastAsia="Times New Roman"/>
          <w:color w:val="0e101a"/>
          <w:szCs w:val="24"/>
        </w:rPr>
        <w:t xml:space="preserve"> and standard glucose tolerance. Abdominal obesity, elevated blood pressure, fasting glucose value of 100mg/dl or more, low level of high-density lipoprotein (HDL) cholesterol, and elevated triglyceride level are the common indications of metabolic syndrome.</w:t>
      </w:r>
    </w:p>
    <w:p>
      <w:pPr>
        <w:pStyle w:val="style0"/>
        <w:numPr>
          <w:ilvl w:val="0"/>
          <w:numId w:val="1"/>
        </w:numPr>
        <w:spacing w:after="0" w:lineRule="auto" w:line="480"/>
        <w:rPr>
          <w:rFonts w:cs="Times New Roman" w:eastAsia="Times New Roman"/>
          <w:color w:val="0e101a"/>
          <w:szCs w:val="24"/>
        </w:rPr>
      </w:pPr>
      <w:r>
        <w:rPr>
          <w:rFonts w:cs="Times New Roman" w:eastAsia="Times New Roman"/>
          <w:color w:val="0e101a"/>
          <w:szCs w:val="24"/>
        </w:rPr>
        <w:t xml:space="preserve">Differential diagnosis III- hyperthyroidism is a condition caused by an overactive thyroid gland due to over secretion of </w:t>
      </w:r>
      <w:r>
        <w:rPr>
          <w:rFonts w:cs="Times New Roman" w:eastAsia="Times New Roman"/>
          <w:color w:val="0e101a"/>
          <w:szCs w:val="24"/>
        </w:rPr>
        <w:t>thyroxine</w:t>
      </w:r>
      <w:r>
        <w:rPr>
          <w:rFonts w:cs="Times New Roman" w:eastAsia="Times New Roman"/>
          <w:color w:val="0e101a"/>
          <w:szCs w:val="24"/>
        </w:rPr>
        <w:t>. Classic indications include tachycardia, insomnia, hand tremors, excessive sweating, and muscle weakness.</w:t>
      </w:r>
    </w:p>
    <w:p>
      <w:pPr>
        <w:pStyle w:val="style0"/>
        <w:spacing w:after="0" w:lineRule="auto" w:line="480"/>
        <w:ind w:firstLine="360"/>
        <w:rPr>
          <w:rFonts w:cs="Times New Roman" w:eastAsia="Times New Roman"/>
          <w:b/>
          <w:bCs/>
          <w:color w:val="0e101a"/>
          <w:szCs w:val="24"/>
        </w:rPr>
      </w:pPr>
    </w:p>
    <w:p>
      <w:pPr>
        <w:pStyle w:val="style0"/>
        <w:spacing w:after="0" w:lineRule="auto" w:line="480"/>
        <w:ind w:firstLine="360"/>
        <w:rPr>
          <w:rFonts w:cs="Times New Roman" w:eastAsia="Times New Roman"/>
          <w:b/>
          <w:bCs/>
          <w:color w:val="0e101a"/>
          <w:szCs w:val="24"/>
        </w:rPr>
      </w:pPr>
    </w:p>
    <w:p>
      <w:pPr>
        <w:pStyle w:val="style0"/>
        <w:spacing w:after="0" w:lineRule="auto" w:line="480"/>
        <w:ind w:firstLine="360"/>
        <w:rPr>
          <w:rFonts w:cs="Times New Roman" w:eastAsia="Times New Roman"/>
          <w:color w:val="0e101a"/>
          <w:szCs w:val="24"/>
        </w:rPr>
      </w:pPr>
      <w:r>
        <w:rPr>
          <w:rFonts w:cs="Times New Roman" w:eastAsia="Times New Roman"/>
          <w:b/>
          <w:bCs/>
          <w:color w:val="0e101a"/>
          <w:szCs w:val="24"/>
        </w:rPr>
        <w:t>DIAGNOSTICS</w:t>
      </w:r>
    </w:p>
    <w:p>
      <w:pPr>
        <w:pStyle w:val="style0"/>
        <w:numPr>
          <w:ilvl w:val="0"/>
          <w:numId w:val="5"/>
        </w:numPr>
        <w:spacing w:after="0" w:lineRule="auto" w:line="480"/>
        <w:rPr>
          <w:rFonts w:cs="Times New Roman" w:eastAsia="Times New Roman"/>
          <w:color w:val="0e101a"/>
          <w:szCs w:val="24"/>
        </w:rPr>
      </w:pPr>
      <w:r>
        <w:rPr>
          <w:rFonts w:cs="Times New Roman" w:eastAsia="Times New Roman"/>
          <w:color w:val="0e101a"/>
          <w:szCs w:val="24"/>
        </w:rPr>
        <w:t>Glycated</w:t>
      </w:r>
      <w:r>
        <w:rPr>
          <w:rFonts w:cs="Times New Roman" w:eastAsia="Times New Roman"/>
          <w:color w:val="0e101a"/>
          <w:szCs w:val="24"/>
        </w:rPr>
        <w:t xml:space="preserve"> hemoglobin (A1C) test- Diabetes mellitus type 2 is usually diagnosed by this blood test. The test checks for the average blood sugar level from the past 2-3 months. Results are interpreted as follows: below 5.7% is appreciable for normal body function, 5.7-6.4% is diagnosed as </w:t>
      </w:r>
      <w:r>
        <w:rPr>
          <w:rFonts w:cs="Times New Roman" w:eastAsia="Times New Roman"/>
          <w:color w:val="0e101a"/>
          <w:szCs w:val="24"/>
        </w:rPr>
        <w:t>prediabetes</w:t>
      </w:r>
      <w:r>
        <w:rPr>
          <w:rFonts w:cs="Times New Roman" w:eastAsia="Times New Roman"/>
          <w:color w:val="0e101a"/>
          <w:szCs w:val="24"/>
        </w:rPr>
        <w:t xml:space="preserve">, </w:t>
      </w:r>
      <w:r>
        <w:rPr>
          <w:rFonts w:cs="Times New Roman" w:eastAsia="Times New Roman"/>
          <w:color w:val="0e101a"/>
          <w:szCs w:val="24"/>
        </w:rPr>
        <w:t>≥</w:t>
      </w:r>
      <w:r>
        <w:rPr>
          <w:rFonts w:cs="Times New Roman" w:eastAsia="Times New Roman"/>
          <w:color w:val="0e101a"/>
          <w:szCs w:val="24"/>
        </w:rPr>
        <w:t xml:space="preserve"> </w:t>
      </w:r>
      <w:r>
        <w:rPr>
          <w:rFonts w:cs="Times New Roman" w:eastAsia="Times New Roman"/>
          <w:color w:val="0e101a"/>
          <w:szCs w:val="24"/>
        </w:rPr>
        <w:t>6.5% indicates diabetes (</w:t>
      </w:r>
      <w:r>
        <w:rPr>
          <w:rFonts w:cs="Times New Roman" w:eastAsia="Times New Roman"/>
          <w:color w:val="0e101a"/>
          <w:szCs w:val="24"/>
        </w:rPr>
        <w:t>Petersmann</w:t>
      </w:r>
      <w:r>
        <w:rPr>
          <w:rFonts w:cs="Times New Roman" w:eastAsia="Times New Roman"/>
          <w:color w:val="0e101a"/>
          <w:szCs w:val="24"/>
        </w:rPr>
        <w:t xml:space="preserve"> et al., 2019).</w:t>
      </w:r>
    </w:p>
    <w:p>
      <w:pPr>
        <w:pStyle w:val="style0"/>
        <w:numPr>
          <w:ilvl w:val="0"/>
          <w:numId w:val="5"/>
        </w:numPr>
        <w:spacing w:after="0" w:lineRule="auto" w:line="480"/>
        <w:rPr>
          <w:rFonts w:cs="Times New Roman" w:eastAsia="Times New Roman"/>
          <w:color w:val="0e101a"/>
          <w:szCs w:val="24"/>
        </w:rPr>
      </w:pPr>
      <w:r>
        <w:rPr>
          <w:rFonts w:cs="Times New Roman" w:eastAsia="Times New Roman"/>
          <w:color w:val="0e101a"/>
          <w:szCs w:val="24"/>
        </w:rPr>
        <w:t>Random blood sugar test- regardless of when a patient ate last, blood sugar levels of 200mg/dl or higher indicate diabetes, especially once the patients exhibit signs and symptoms of type 2 diabetes, including extreme thirst and frequent urination (</w:t>
      </w:r>
      <w:r>
        <w:rPr>
          <w:rFonts w:cs="Times New Roman" w:eastAsia="Times New Roman"/>
          <w:color w:val="0e101a"/>
          <w:szCs w:val="24"/>
        </w:rPr>
        <w:t>Petersmann</w:t>
      </w:r>
      <w:r>
        <w:rPr>
          <w:rFonts w:cs="Times New Roman" w:eastAsia="Times New Roman"/>
          <w:color w:val="0e101a"/>
          <w:szCs w:val="24"/>
        </w:rPr>
        <w:t xml:space="preserve"> et al., 2019).</w:t>
      </w:r>
    </w:p>
    <w:p>
      <w:pPr>
        <w:pStyle w:val="style0"/>
        <w:numPr>
          <w:ilvl w:val="0"/>
          <w:numId w:val="5"/>
        </w:numPr>
        <w:spacing w:after="0" w:lineRule="auto" w:line="480"/>
        <w:rPr>
          <w:rFonts w:cs="Times New Roman" w:eastAsia="Times New Roman"/>
          <w:color w:val="0e101a"/>
          <w:szCs w:val="24"/>
        </w:rPr>
      </w:pPr>
      <w:r>
        <w:rPr>
          <w:rFonts w:cs="Times New Roman" w:eastAsia="Times New Roman"/>
          <w:color w:val="0e101a"/>
          <w:szCs w:val="24"/>
        </w:rPr>
        <w:t xml:space="preserve">Fasting blood sugar test- a blood sample is acquired from the patient after an overnight fast, results are interpreted as follows: normal body function; less than 100mg/dl, 100-125mg/dl indicates </w:t>
      </w:r>
      <w:r>
        <w:rPr>
          <w:rFonts w:cs="Times New Roman" w:eastAsia="Times New Roman"/>
          <w:color w:val="0e101a"/>
          <w:szCs w:val="24"/>
        </w:rPr>
        <w:t>prediabetes</w:t>
      </w:r>
      <w:r>
        <w:rPr>
          <w:rFonts w:cs="Times New Roman" w:eastAsia="Times New Roman"/>
          <w:color w:val="0e101a"/>
          <w:szCs w:val="24"/>
        </w:rPr>
        <w:t xml:space="preserve"> and 126mg/dl or higher on two separate tests shows the prevalence of diabetes (</w:t>
      </w:r>
      <w:r>
        <w:rPr>
          <w:rFonts w:cs="Times New Roman" w:eastAsia="Times New Roman"/>
          <w:color w:val="0e101a"/>
          <w:szCs w:val="24"/>
        </w:rPr>
        <w:t>Petersmann</w:t>
      </w:r>
      <w:r>
        <w:rPr>
          <w:rFonts w:cs="Times New Roman" w:eastAsia="Times New Roman"/>
          <w:color w:val="0e101a"/>
          <w:szCs w:val="24"/>
        </w:rPr>
        <w:t xml:space="preserve"> et al., 2019).</w:t>
      </w:r>
    </w:p>
    <w:p>
      <w:pPr>
        <w:pStyle w:val="style0"/>
        <w:spacing w:after="0" w:lineRule="auto" w:line="480"/>
        <w:ind w:firstLine="360"/>
        <w:rPr>
          <w:rFonts w:cs="Times New Roman" w:eastAsia="Times New Roman"/>
          <w:color w:val="0e101a"/>
          <w:szCs w:val="24"/>
        </w:rPr>
      </w:pPr>
      <w:r>
        <w:rPr>
          <w:rFonts w:cs="Times New Roman" w:eastAsia="Times New Roman"/>
          <w:b/>
          <w:bCs/>
          <w:color w:val="0e101a"/>
          <w:szCs w:val="24"/>
        </w:rPr>
        <w:t>MEDICAL MANAGEMENT</w:t>
      </w:r>
    </w:p>
    <w:p>
      <w:pPr>
        <w:pStyle w:val="style0"/>
        <w:numPr>
          <w:ilvl w:val="0"/>
          <w:numId w:val="6"/>
        </w:numPr>
        <w:spacing w:after="0" w:lineRule="auto" w:line="480"/>
        <w:rPr>
          <w:rFonts w:cs="Times New Roman" w:eastAsia="Times New Roman"/>
          <w:color w:val="0e101a"/>
          <w:szCs w:val="24"/>
        </w:rPr>
      </w:pPr>
      <w:r>
        <w:rPr>
          <w:rFonts w:cs="Times New Roman" w:eastAsia="Times New Roman"/>
          <w:color w:val="0e101a"/>
          <w:szCs w:val="24"/>
        </w:rPr>
        <w:t>Metformin (</w:t>
      </w:r>
      <w:r>
        <w:rPr>
          <w:rFonts w:cs="Times New Roman" w:eastAsia="Times New Roman"/>
          <w:color w:val="0e101a"/>
          <w:szCs w:val="24"/>
        </w:rPr>
        <w:t>Glumetza</w:t>
      </w:r>
      <w:r>
        <w:rPr>
          <w:rFonts w:cs="Times New Roman" w:eastAsia="Times New Roman"/>
          <w:color w:val="0e101a"/>
          <w:szCs w:val="24"/>
        </w:rPr>
        <w:t xml:space="preserve">, </w:t>
      </w:r>
      <w:r>
        <w:rPr>
          <w:rFonts w:cs="Times New Roman" w:eastAsia="Times New Roman"/>
          <w:color w:val="0e101a"/>
          <w:szCs w:val="24"/>
        </w:rPr>
        <w:t>Fortamet</w:t>
      </w:r>
      <w:r>
        <w:rPr>
          <w:rFonts w:cs="Times New Roman" w:eastAsia="Times New Roman"/>
          <w:color w:val="0e101a"/>
          <w:szCs w:val="24"/>
        </w:rPr>
        <w:t>, others) is the first medication prescribed for diabetes mellitus type 2. Its main task is to improve the patient's body sensitivity to insulin to use insulin more effectively and lower glucose production in the liver. Some patients may experience B-12 deficiency, and supplements can be recommended (</w:t>
      </w:r>
      <w:r>
        <w:rPr>
          <w:rFonts w:cs="Times New Roman" w:eastAsia="Times New Roman"/>
          <w:color w:val="0e101a"/>
          <w:szCs w:val="24"/>
        </w:rPr>
        <w:t>Qaseem</w:t>
      </w:r>
      <w:r>
        <w:rPr>
          <w:rFonts w:cs="Times New Roman" w:eastAsia="Times New Roman"/>
          <w:color w:val="0e101a"/>
          <w:szCs w:val="24"/>
        </w:rPr>
        <w:t xml:space="preserve"> et al., 2017). Possible side effects include bloating, diarrhea, nausea, and abdominal pain; these side effects may improve over time.</w:t>
      </w:r>
    </w:p>
    <w:p>
      <w:pPr>
        <w:pStyle w:val="style0"/>
        <w:numPr>
          <w:ilvl w:val="0"/>
          <w:numId w:val="6"/>
        </w:numPr>
        <w:spacing w:after="0" w:lineRule="auto" w:line="480"/>
        <w:rPr>
          <w:rFonts w:cs="Times New Roman" w:eastAsia="Times New Roman"/>
          <w:color w:val="0e101a"/>
          <w:szCs w:val="24"/>
        </w:rPr>
      </w:pPr>
      <w:r>
        <w:rPr>
          <w:rFonts w:cs="Times New Roman" w:eastAsia="Times New Roman"/>
          <w:color w:val="0e101a"/>
          <w:szCs w:val="24"/>
        </w:rPr>
        <w:t xml:space="preserve">SGLT2 inhibitors inhibit the return of glucose to the bloodstream in the patient's kidney, thereby affecting blood-filtering functions. Glucose is thus excreted in the urine; </w:t>
      </w:r>
      <w:r>
        <w:rPr>
          <w:rFonts w:cs="Times New Roman" w:eastAsia="Times New Roman"/>
          <w:color w:val="0e101a"/>
          <w:szCs w:val="24"/>
        </w:rPr>
        <w:t xml:space="preserve">examples of medications include </w:t>
      </w:r>
      <w:r>
        <w:rPr>
          <w:rFonts w:cs="Times New Roman" w:eastAsia="Times New Roman"/>
          <w:color w:val="0e101a"/>
          <w:szCs w:val="24"/>
        </w:rPr>
        <w:t>dapagliflozin</w:t>
      </w:r>
      <w:r>
        <w:rPr>
          <w:rFonts w:cs="Times New Roman" w:eastAsia="Times New Roman"/>
          <w:color w:val="0e101a"/>
          <w:szCs w:val="24"/>
        </w:rPr>
        <w:t xml:space="preserve"> (</w:t>
      </w:r>
      <w:r>
        <w:rPr>
          <w:rFonts w:cs="Times New Roman" w:eastAsia="Times New Roman"/>
          <w:color w:val="0e101a"/>
          <w:szCs w:val="24"/>
        </w:rPr>
        <w:t>Farxiga</w:t>
      </w:r>
      <w:r>
        <w:rPr>
          <w:rFonts w:cs="Times New Roman" w:eastAsia="Times New Roman"/>
          <w:color w:val="0e101a"/>
          <w:szCs w:val="24"/>
        </w:rPr>
        <w:t xml:space="preserve">), </w:t>
      </w:r>
      <w:r>
        <w:rPr>
          <w:rFonts w:cs="Times New Roman" w:eastAsia="Times New Roman"/>
          <w:color w:val="0e101a"/>
          <w:szCs w:val="24"/>
        </w:rPr>
        <w:t>empagliflozin</w:t>
      </w:r>
      <w:r>
        <w:rPr>
          <w:rFonts w:cs="Times New Roman" w:eastAsia="Times New Roman"/>
          <w:color w:val="0e101a"/>
          <w:szCs w:val="24"/>
        </w:rPr>
        <w:t xml:space="preserve"> (</w:t>
      </w:r>
      <w:r>
        <w:rPr>
          <w:rFonts w:cs="Times New Roman" w:eastAsia="Times New Roman"/>
          <w:color w:val="0e101a"/>
          <w:szCs w:val="24"/>
        </w:rPr>
        <w:t>Jardiance</w:t>
      </w:r>
      <w:r>
        <w:rPr>
          <w:rFonts w:cs="Times New Roman" w:eastAsia="Times New Roman"/>
          <w:color w:val="0e101a"/>
          <w:szCs w:val="24"/>
        </w:rPr>
        <w:t xml:space="preserve">), and </w:t>
      </w:r>
      <w:r>
        <w:rPr>
          <w:rFonts w:cs="Times New Roman" w:eastAsia="Times New Roman"/>
          <w:color w:val="0e101a"/>
          <w:szCs w:val="24"/>
        </w:rPr>
        <w:t>canagliflozin</w:t>
      </w:r>
      <w:r>
        <w:rPr>
          <w:rFonts w:cs="Times New Roman" w:eastAsia="Times New Roman"/>
          <w:color w:val="0e101a"/>
          <w:szCs w:val="24"/>
        </w:rPr>
        <w:t xml:space="preserve"> (</w:t>
      </w:r>
      <w:r>
        <w:rPr>
          <w:rFonts w:cs="Times New Roman" w:eastAsia="Times New Roman"/>
          <w:color w:val="0e101a"/>
          <w:szCs w:val="24"/>
        </w:rPr>
        <w:t>Invokana</w:t>
      </w:r>
      <w:r>
        <w:rPr>
          <w:rFonts w:cs="Times New Roman" w:eastAsia="Times New Roman"/>
          <w:color w:val="0e101a"/>
          <w:szCs w:val="24"/>
        </w:rPr>
        <w:t>.); these drugs reduce the risk of stroke and heart attack to patients with a high risk of those complications. Side effects include risk of gangrene, risk of bone fractures, etc.</w:t>
      </w:r>
    </w:p>
    <w:p>
      <w:pPr>
        <w:pStyle w:val="style0"/>
        <w:numPr>
          <w:ilvl w:val="0"/>
          <w:numId w:val="6"/>
        </w:numPr>
        <w:spacing w:after="0" w:lineRule="auto" w:line="480"/>
        <w:rPr>
          <w:rFonts w:cs="Times New Roman" w:eastAsia="Times New Roman"/>
          <w:color w:val="0e101a"/>
          <w:szCs w:val="24"/>
        </w:rPr>
      </w:pPr>
      <w:r>
        <w:rPr>
          <w:rFonts w:cs="Times New Roman" w:eastAsia="Times New Roman"/>
          <w:color w:val="0e101a"/>
          <w:szCs w:val="24"/>
        </w:rPr>
        <w:t>Insulin therapy- in the past, insulin therapy was considered the last prescription; however, today, it may resort sooner if blood sugar level targets cannot attenuate due to other medications or lifestyle changes. Long-acting insulin is designed to work through the day or overnight to keep blood sugar levels manageable. Short-acting insulin may be used at mealtime. The doctor will determine the type of insulin, type, dosage, and schedule dependent on how adverse the type 2 diabetes has progressed. Most types of insulin are administered through injections. Side effects include high triglycerides, diabetic ketoacidosis, and hypoglycemia (</w:t>
      </w:r>
      <w:r>
        <w:rPr>
          <w:rFonts w:cs="Times New Roman" w:eastAsia="Times New Roman"/>
          <w:color w:val="0e101a"/>
          <w:szCs w:val="24"/>
        </w:rPr>
        <w:t>Qaseem</w:t>
      </w:r>
      <w:r>
        <w:rPr>
          <w:rFonts w:cs="Times New Roman" w:eastAsia="Times New Roman"/>
          <w:color w:val="0e101a"/>
          <w:szCs w:val="24"/>
        </w:rPr>
        <w:t xml:space="preserve"> et al., 2017)</w:t>
      </w:r>
    </w:p>
    <w:p>
      <w:pPr>
        <w:pStyle w:val="style0"/>
        <w:spacing w:after="0" w:lineRule="auto" w:line="480"/>
        <w:ind w:firstLine="360"/>
        <w:rPr>
          <w:rFonts w:cs="Times New Roman" w:eastAsia="Times New Roman"/>
          <w:color w:val="0e101a"/>
          <w:szCs w:val="24"/>
        </w:rPr>
      </w:pPr>
      <w:r>
        <w:rPr>
          <w:rFonts w:cs="Times New Roman" w:eastAsia="Times New Roman"/>
          <w:b/>
          <w:bCs/>
          <w:color w:val="0e101a"/>
          <w:szCs w:val="24"/>
        </w:rPr>
        <w:t>PROGNOSIS</w:t>
      </w:r>
    </w:p>
    <w:p>
      <w:pPr>
        <w:pStyle w:val="style0"/>
        <w:spacing w:after="0" w:lineRule="auto" w:line="480"/>
        <w:ind w:firstLine="360"/>
        <w:rPr>
          <w:rFonts w:cs="Times New Roman" w:eastAsia="Times New Roman"/>
          <w:color w:val="0e101a"/>
          <w:szCs w:val="24"/>
        </w:rPr>
      </w:pPr>
      <w:r>
        <w:rPr>
          <w:rFonts w:cs="Times New Roman" w:eastAsia="Times New Roman"/>
          <w:color w:val="0e101a"/>
          <w:szCs w:val="24"/>
        </w:rPr>
        <w:t>The course of type 2 diabetes increases the risk of microvascular, macro-vascular disease, and even death. The progression of type 2 diabetes leads to a significant decline in beta-cell function and insulin resistance. The process contributes to the degeneration of fasting blood glucose, postprandial glucose levels, and hemoglobin A1C. 50% of patients have already shown signs of complications (Henning, 2018). These people have a high risk of stroke within the first five years of diagnosis. Depression surges through due to the accompanying conditions following type 2 diabetes. Limb amputation is another complication due to the occurrence of a foot ulcer, where about 70% of patients succumb within five years of having a lower-limb amputation (Henning, 2018).</w:t>
      </w:r>
    </w:p>
    <w:p>
      <w:pPr>
        <w:pStyle w:val="style0"/>
        <w:spacing w:after="0" w:lineRule="auto" w:line="480"/>
        <w:rPr>
          <w:rFonts w:cs="Times New Roman" w:eastAsia="Times New Roman"/>
          <w:b/>
          <w:bCs/>
          <w:color w:val="0e101a"/>
          <w:szCs w:val="24"/>
        </w:rPr>
      </w:pPr>
    </w:p>
    <w:p>
      <w:pPr>
        <w:pStyle w:val="style0"/>
        <w:spacing w:after="0" w:lineRule="auto" w:line="480"/>
        <w:rPr>
          <w:rFonts w:cs="Times New Roman" w:eastAsia="Times New Roman"/>
          <w:b/>
          <w:bCs/>
          <w:color w:val="0e101a"/>
          <w:szCs w:val="24"/>
        </w:rPr>
      </w:pPr>
    </w:p>
    <w:p>
      <w:pPr>
        <w:pStyle w:val="style0"/>
        <w:spacing w:after="0" w:lineRule="auto" w:line="480"/>
        <w:ind w:firstLine="360"/>
        <w:rPr>
          <w:rFonts w:cs="Times New Roman" w:eastAsia="Times New Roman"/>
          <w:color w:val="0e101a"/>
          <w:szCs w:val="24"/>
        </w:rPr>
      </w:pPr>
      <w:r>
        <w:rPr>
          <w:rFonts w:cs="Times New Roman" w:eastAsia="Times New Roman"/>
          <w:b/>
          <w:bCs/>
          <w:color w:val="0e101a"/>
          <w:szCs w:val="24"/>
        </w:rPr>
        <w:t>FOLLOW UP CARE/ REFERRAL</w:t>
      </w:r>
    </w:p>
    <w:p>
      <w:pPr>
        <w:pStyle w:val="style0"/>
        <w:spacing w:after="0" w:lineRule="auto" w:line="480"/>
        <w:ind w:firstLine="360"/>
        <w:rPr>
          <w:rFonts w:cs="Times New Roman" w:eastAsia="Times New Roman"/>
          <w:color w:val="0e101a"/>
          <w:szCs w:val="24"/>
        </w:rPr>
      </w:pPr>
      <w:r>
        <w:rPr>
          <w:rFonts w:cs="Times New Roman" w:eastAsia="Times New Roman"/>
          <w:color w:val="0e101a"/>
          <w:szCs w:val="24"/>
        </w:rPr>
        <w:t>Health providers should provide the necessary care for patients with type 2 diabetes to eliminate symptoms and slow the development and progression of complications. The patient should be encouraged to keep a list of all the prescribed medication. The patient should make and go to all appointments, and they should call their doctor upon any arising complication.</w:t>
      </w:r>
    </w:p>
    <w:p>
      <w:pPr>
        <w:pStyle w:val="style0"/>
        <w:spacing w:after="0" w:lineRule="auto" w:line="480"/>
        <w:ind w:firstLine="360"/>
        <w:rPr>
          <w:rFonts w:cs="Times New Roman" w:eastAsia="Times New Roman"/>
          <w:color w:val="0e101a"/>
          <w:szCs w:val="24"/>
        </w:rPr>
      </w:pPr>
      <w:r>
        <w:rPr>
          <w:rFonts w:cs="Times New Roman" w:eastAsia="Times New Roman"/>
          <w:b/>
          <w:bCs/>
          <w:color w:val="0e101a"/>
          <w:szCs w:val="24"/>
        </w:rPr>
        <w:t>PATIENT EDUCATION</w:t>
      </w:r>
    </w:p>
    <w:p>
      <w:pPr>
        <w:pStyle w:val="style0"/>
        <w:spacing w:after="0" w:lineRule="auto" w:line="480"/>
        <w:ind w:firstLine="360"/>
        <w:rPr>
          <w:rFonts w:cs="Times New Roman" w:eastAsia="Times New Roman"/>
          <w:color w:val="0e101a"/>
          <w:szCs w:val="24"/>
        </w:rPr>
      </w:pPr>
      <w:r>
        <w:rPr>
          <w:rFonts w:cs="Times New Roman" w:eastAsia="Times New Roman"/>
          <w:color w:val="0e101a"/>
          <w:szCs w:val="24"/>
        </w:rPr>
        <w:t>The patient should keep the blood sugar level target that was set with their doctor. Dietary changes, for instance, having a concise meal plan to limit carbohydrate intake, will affect blood sugar levels more than any other nutrient. Lifestyle changes should also be incorporated where there should be an effort to lose and maintain a healthy weight. Aerobic exercise such as walking, biking, swimming for about half an hour is recommended. Resistance exercises increase the patient's balance, ability, and strength to perform daily activities. Resistance training includes yoga and weight lifting, and patients with type 2 diabetes should aim for at least two sessions per week to build the flexibility needed for living more easily (Adam et al., 2018)</w:t>
      </w:r>
    </w:p>
    <w:p>
      <w:pPr>
        <w:pStyle w:val="style0"/>
        <w:spacing w:after="0" w:lineRule="auto" w:line="480"/>
        <w:ind w:firstLine="360"/>
        <w:rPr>
          <w:rFonts w:cs="Times New Roman" w:eastAsia="Times New Roman"/>
          <w:color w:val="0e101a"/>
          <w:szCs w:val="24"/>
        </w:rPr>
      </w:pPr>
    </w:p>
    <w:p>
      <w:pPr>
        <w:pStyle w:val="style0"/>
        <w:spacing w:after="0" w:lineRule="auto" w:line="480"/>
        <w:ind w:firstLine="360"/>
        <w:rPr>
          <w:rFonts w:cs="Times New Roman" w:eastAsia="Times New Roman"/>
          <w:color w:val="0e101a"/>
          <w:szCs w:val="24"/>
        </w:rPr>
      </w:pPr>
    </w:p>
    <w:p>
      <w:pPr>
        <w:pStyle w:val="style0"/>
        <w:spacing w:after="0" w:lineRule="auto" w:line="480"/>
        <w:ind w:firstLine="360"/>
        <w:rPr>
          <w:rFonts w:cs="Times New Roman" w:eastAsia="Times New Roman"/>
          <w:color w:val="0e101a"/>
          <w:szCs w:val="24"/>
        </w:rPr>
      </w:pPr>
    </w:p>
    <w:p>
      <w:pPr>
        <w:pStyle w:val="style0"/>
        <w:spacing w:lineRule="auto" w:line="480"/>
        <w:rPr/>
      </w:pPr>
      <w:r>
        <w:t>Review of Systems</w:t>
      </w:r>
    </w:p>
    <w:p>
      <w:pPr>
        <w:pStyle w:val="style0"/>
        <w:spacing w:lineRule="auto" w:line="480"/>
        <w:rPr/>
      </w:pPr>
      <w:r>
        <w:t>Constitutional: (+) positive weight change, (+) appetite change</w:t>
      </w:r>
    </w:p>
    <w:p>
      <w:pPr>
        <w:pStyle w:val="style0"/>
        <w:spacing w:lineRule="auto" w:line="480"/>
        <w:rPr/>
      </w:pPr>
      <w:r>
        <w:t>HENT: (-) hearing loss, (-) ear pain</w:t>
      </w:r>
    </w:p>
    <w:p>
      <w:pPr>
        <w:pStyle w:val="style0"/>
        <w:spacing w:lineRule="auto" w:line="480"/>
        <w:rPr/>
      </w:pPr>
      <w:r>
        <w:t>Eyes:</w:t>
      </w:r>
      <w:r>
        <w:t xml:space="preserve"> </w:t>
      </w:r>
      <w:r>
        <w:t>(-) photophobia, (+) blurry vision (-) Dry eyes</w:t>
      </w:r>
    </w:p>
    <w:p>
      <w:pPr>
        <w:pStyle w:val="style0"/>
        <w:spacing w:lineRule="auto" w:line="480"/>
        <w:rPr/>
      </w:pPr>
      <w:r>
        <w:t xml:space="preserve">Cardiovascular: </w:t>
      </w:r>
      <w:r>
        <w:t>(-) Chest discomfort, (-) palpitation</w:t>
      </w:r>
    </w:p>
    <w:p>
      <w:pPr>
        <w:pStyle w:val="style0"/>
        <w:spacing w:lineRule="auto" w:line="480"/>
        <w:rPr/>
      </w:pPr>
      <w:r>
        <w:t>Respiratory: (-) shortness of breath, (-) cough</w:t>
      </w:r>
    </w:p>
    <w:p>
      <w:pPr>
        <w:pStyle w:val="style0"/>
        <w:spacing w:lineRule="auto" w:line="480"/>
        <w:rPr/>
      </w:pPr>
      <w:r>
        <w:t xml:space="preserve">Gastrointestinal: </w:t>
      </w:r>
      <w:r>
        <w:t xml:space="preserve">(+) increased hunger, </w:t>
      </w:r>
      <w:r>
        <w:t>(-) abdominal distention, (-) nausea</w:t>
      </w:r>
    </w:p>
    <w:p>
      <w:pPr>
        <w:pStyle w:val="style0"/>
        <w:spacing w:lineRule="auto" w:line="480"/>
        <w:rPr/>
      </w:pPr>
      <w:r>
        <w:t>Endocrine: (-) cold intolerance, (-) heat intolerance, (+) polyuria</w:t>
      </w:r>
    </w:p>
    <w:p>
      <w:pPr>
        <w:pStyle w:val="style0"/>
        <w:spacing w:lineRule="auto" w:line="480"/>
        <w:rPr/>
      </w:pPr>
      <w:r>
        <w:t>Genitourinary: (-) dysuria, (-) difficulty of urination</w:t>
      </w:r>
      <w:r>
        <w:t xml:space="preserve"> (+) frequent urination</w:t>
      </w:r>
    </w:p>
    <w:p>
      <w:pPr>
        <w:pStyle w:val="style0"/>
        <w:spacing w:lineRule="auto" w:line="480"/>
        <w:rPr/>
      </w:pPr>
      <w:r>
        <w:t>Musculoskeletal: (+) Fatigue, (+) weakness, (+) Muscle wasting</w:t>
      </w:r>
    </w:p>
    <w:p>
      <w:pPr>
        <w:pStyle w:val="style0"/>
        <w:spacing w:lineRule="auto" w:line="480"/>
        <w:rPr/>
      </w:pPr>
      <w:r>
        <w:t xml:space="preserve">Skin/ integumentary: </w:t>
      </w:r>
      <w:r>
        <w:t>(-) swelling, (-) rash/ ulcers</w:t>
      </w:r>
    </w:p>
    <w:p>
      <w:pPr>
        <w:pStyle w:val="style0"/>
        <w:spacing w:lineRule="auto" w:line="480"/>
        <w:rPr/>
      </w:pPr>
      <w:r>
        <w:t xml:space="preserve">Neurological: </w:t>
      </w:r>
      <w:r>
        <w:t>(-) headache, (-) speech difficulty, (-) dizziness</w:t>
      </w:r>
    </w:p>
    <w:p>
      <w:pPr>
        <w:pStyle w:val="style0"/>
        <w:spacing w:lineRule="auto" w:line="480"/>
        <w:rPr/>
      </w:pPr>
      <w:r>
        <w:t>Hematologic: (-) bleeding easily</w:t>
      </w:r>
    </w:p>
    <w:p>
      <w:pPr>
        <w:pStyle w:val="style0"/>
        <w:spacing w:lineRule="auto" w:line="480"/>
        <w:rPr/>
      </w:pPr>
      <w:r>
        <w:t>Psychiatric: (+) depression, (+) suicidal ideation</w:t>
      </w:r>
    </w:p>
    <w:p>
      <w:pPr>
        <w:pStyle w:val="style0"/>
        <w:rPr/>
      </w:pPr>
      <w:r>
        <w:br w:type="page"/>
      </w:r>
    </w:p>
    <w:p>
      <w:pPr>
        <w:pStyle w:val="style0"/>
        <w:spacing w:lineRule="auto" w:line="480"/>
        <w:jc w:val="center"/>
        <w:rPr/>
      </w:pPr>
      <w:r>
        <w:t>References</w:t>
      </w:r>
    </w:p>
    <w:p>
      <w:pPr>
        <w:pStyle w:val="style0"/>
        <w:spacing w:lineRule="auto" w:line="480"/>
        <w:rPr>
          <w:rFonts w:cs="Times New Roman"/>
          <w:color w:val="222222"/>
          <w:szCs w:val="24"/>
          <w:shd w:val="clear" w:color="auto" w:fill="ffffff"/>
        </w:rPr>
      </w:pPr>
      <w:r>
        <w:rPr>
          <w:rFonts w:cs="Times New Roman"/>
          <w:color w:val="222222"/>
          <w:szCs w:val="24"/>
          <w:shd w:val="clear" w:color="auto" w:fill="ffffff"/>
        </w:rPr>
        <w:t xml:space="preserve">Adam, L., O'Connor, C., &amp; Garcia, A. C. (2018). Evaluating the impact of diabetes self-management education methods on knowledge, attitudes and </w:t>
      </w:r>
      <w:r>
        <w:rPr>
          <w:rFonts w:cs="Times New Roman"/>
          <w:color w:val="222222"/>
          <w:szCs w:val="24"/>
          <w:shd w:val="clear" w:color="auto" w:fill="ffffff"/>
        </w:rPr>
        <w:t>behaviours</w:t>
      </w:r>
      <w:r>
        <w:rPr>
          <w:rFonts w:cs="Times New Roman"/>
          <w:color w:val="222222"/>
          <w:szCs w:val="24"/>
          <w:shd w:val="clear" w:color="auto" w:fill="ffffff"/>
        </w:rPr>
        <w:t xml:space="preserve"> of adult patients with type 2 diabetes mellitus. </w:t>
      </w:r>
      <w:r>
        <w:rPr>
          <w:rFonts w:cs="Times New Roman"/>
          <w:i/>
          <w:iCs/>
          <w:color w:val="222222"/>
          <w:szCs w:val="24"/>
          <w:shd w:val="clear" w:color="auto" w:fill="ffffff"/>
        </w:rPr>
        <w:t>Canadian journal of diabetes</w:t>
      </w:r>
      <w:r>
        <w:rPr>
          <w:rFonts w:cs="Times New Roman"/>
          <w:color w:val="222222"/>
          <w:szCs w:val="24"/>
          <w:shd w:val="clear" w:color="auto" w:fill="ffffff"/>
        </w:rPr>
        <w:t>, </w:t>
      </w:r>
      <w:r>
        <w:rPr>
          <w:rFonts w:cs="Times New Roman"/>
          <w:i/>
          <w:iCs/>
          <w:color w:val="222222"/>
          <w:szCs w:val="24"/>
          <w:shd w:val="clear" w:color="auto" w:fill="ffffff"/>
        </w:rPr>
        <w:t>42</w:t>
      </w:r>
      <w:r>
        <w:rPr>
          <w:rFonts w:cs="Times New Roman"/>
          <w:color w:val="222222"/>
          <w:szCs w:val="24"/>
          <w:shd w:val="clear" w:color="auto" w:fill="ffffff"/>
        </w:rPr>
        <w:t>(5), 470-477.</w:t>
      </w:r>
    </w:p>
    <w:p>
      <w:pPr>
        <w:pStyle w:val="style0"/>
        <w:spacing w:lineRule="auto" w:line="480"/>
        <w:rPr>
          <w:rFonts w:cs="Times New Roman"/>
          <w:color w:val="222222"/>
          <w:szCs w:val="24"/>
          <w:shd w:val="clear" w:color="auto" w:fill="ffffff"/>
        </w:rPr>
      </w:pPr>
      <w:r>
        <w:rPr>
          <w:rFonts w:cs="Times New Roman"/>
          <w:color w:val="222222"/>
          <w:szCs w:val="24"/>
          <w:shd w:val="clear" w:color="auto" w:fill="ffffff"/>
        </w:rPr>
        <w:t>Henning, R. J. (2018). Type-2 diabetes mellitus and cardiovascular disease. </w:t>
      </w:r>
      <w:r>
        <w:rPr>
          <w:rFonts w:cs="Times New Roman"/>
          <w:i/>
          <w:iCs/>
          <w:color w:val="222222"/>
          <w:szCs w:val="24"/>
          <w:shd w:val="clear" w:color="auto" w:fill="ffffff"/>
        </w:rPr>
        <w:t>Future cardiology</w:t>
      </w:r>
      <w:r>
        <w:rPr>
          <w:rFonts w:cs="Times New Roman"/>
          <w:color w:val="222222"/>
          <w:szCs w:val="24"/>
          <w:shd w:val="clear" w:color="auto" w:fill="ffffff"/>
        </w:rPr>
        <w:t>, </w:t>
      </w:r>
      <w:r>
        <w:rPr>
          <w:rFonts w:cs="Times New Roman"/>
          <w:i/>
          <w:iCs/>
          <w:color w:val="222222"/>
          <w:szCs w:val="24"/>
          <w:shd w:val="clear" w:color="auto" w:fill="ffffff"/>
        </w:rPr>
        <w:t>14</w:t>
      </w:r>
      <w:r>
        <w:rPr>
          <w:rFonts w:cs="Times New Roman"/>
          <w:color w:val="222222"/>
          <w:szCs w:val="24"/>
          <w:shd w:val="clear" w:color="auto" w:fill="ffffff"/>
        </w:rPr>
        <w:t>(6), 491-509.</w:t>
      </w:r>
    </w:p>
    <w:p>
      <w:pPr>
        <w:pStyle w:val="style0"/>
        <w:spacing w:lineRule="auto" w:line="480"/>
        <w:rPr>
          <w:rFonts w:cs="Times New Roman"/>
          <w:color w:val="222222"/>
          <w:szCs w:val="24"/>
          <w:shd w:val="clear" w:color="auto" w:fill="ffffff"/>
        </w:rPr>
      </w:pPr>
      <w:r>
        <w:rPr>
          <w:rFonts w:cs="Times New Roman"/>
          <w:color w:val="222222"/>
          <w:szCs w:val="24"/>
          <w:shd w:val="clear" w:color="auto" w:fill="ffffff"/>
        </w:rPr>
        <w:t>Jehan</w:t>
      </w:r>
      <w:r>
        <w:rPr>
          <w:rFonts w:cs="Times New Roman"/>
          <w:color w:val="222222"/>
          <w:szCs w:val="24"/>
          <w:shd w:val="clear" w:color="auto" w:fill="ffffff"/>
        </w:rPr>
        <w:t xml:space="preserve">, S., Myers, A. K., </w:t>
      </w:r>
      <w:r>
        <w:rPr>
          <w:rFonts w:cs="Times New Roman"/>
          <w:color w:val="222222"/>
          <w:szCs w:val="24"/>
          <w:shd w:val="clear" w:color="auto" w:fill="ffffff"/>
        </w:rPr>
        <w:t>Zizi</w:t>
      </w:r>
      <w:r>
        <w:rPr>
          <w:rFonts w:cs="Times New Roman"/>
          <w:color w:val="222222"/>
          <w:szCs w:val="24"/>
          <w:shd w:val="clear" w:color="auto" w:fill="ffffff"/>
        </w:rPr>
        <w:t xml:space="preserve">, F., </w:t>
      </w:r>
      <w:r>
        <w:rPr>
          <w:rFonts w:cs="Times New Roman"/>
          <w:color w:val="222222"/>
          <w:szCs w:val="24"/>
          <w:shd w:val="clear" w:color="auto" w:fill="ffffff"/>
        </w:rPr>
        <w:t>Pandi-Perumal</w:t>
      </w:r>
      <w:r>
        <w:rPr>
          <w:rFonts w:cs="Times New Roman"/>
          <w:color w:val="222222"/>
          <w:szCs w:val="24"/>
          <w:shd w:val="clear" w:color="auto" w:fill="ffffff"/>
        </w:rPr>
        <w:t>, S. R., Jean-Louis, G., &amp; McFarlane, S. I. (2018). Obesity, obstructive sleep apnea and type 2 diabetes mellitus: Epidemiology and pathophysiologic insights. </w:t>
      </w:r>
      <w:r>
        <w:rPr>
          <w:rFonts w:cs="Times New Roman"/>
          <w:i/>
          <w:iCs/>
          <w:color w:val="222222"/>
          <w:szCs w:val="24"/>
          <w:shd w:val="clear" w:color="auto" w:fill="ffffff"/>
        </w:rPr>
        <w:t>Sleep medicine and disorders: international journal</w:t>
      </w:r>
      <w:r>
        <w:rPr>
          <w:rFonts w:cs="Times New Roman"/>
          <w:color w:val="222222"/>
          <w:szCs w:val="24"/>
          <w:shd w:val="clear" w:color="auto" w:fill="ffffff"/>
        </w:rPr>
        <w:t>, </w:t>
      </w:r>
      <w:r>
        <w:rPr>
          <w:rFonts w:cs="Times New Roman"/>
          <w:i/>
          <w:iCs/>
          <w:color w:val="222222"/>
          <w:szCs w:val="24"/>
          <w:shd w:val="clear" w:color="auto" w:fill="ffffff"/>
        </w:rPr>
        <w:t>2</w:t>
      </w:r>
      <w:r>
        <w:rPr>
          <w:rFonts w:cs="Times New Roman"/>
          <w:color w:val="222222"/>
          <w:szCs w:val="24"/>
          <w:shd w:val="clear" w:color="auto" w:fill="ffffff"/>
        </w:rPr>
        <w:t xml:space="preserve">(3), </w:t>
      </w:r>
      <w:r>
        <w:rPr>
          <w:rFonts w:cs="Times New Roman"/>
          <w:color w:val="222222"/>
          <w:szCs w:val="24"/>
          <w:shd w:val="clear" w:color="auto" w:fill="ffffff"/>
        </w:rPr>
        <w:t>52</w:t>
      </w:r>
      <w:r>
        <w:rPr>
          <w:rFonts w:cs="Times New Roman"/>
          <w:color w:val="222222"/>
          <w:szCs w:val="24"/>
          <w:shd w:val="clear" w:color="auto" w:fill="ffffff"/>
        </w:rPr>
        <w:t>.</w:t>
      </w:r>
    </w:p>
    <w:p>
      <w:pPr>
        <w:pStyle w:val="style0"/>
        <w:spacing w:lineRule="auto" w:line="480"/>
        <w:rPr>
          <w:rFonts w:cs="Times New Roman"/>
          <w:color w:val="222222"/>
          <w:szCs w:val="24"/>
          <w:shd w:val="clear" w:color="auto" w:fill="ffffff"/>
        </w:rPr>
      </w:pPr>
      <w:r>
        <w:rPr>
          <w:rFonts w:cs="Times New Roman"/>
          <w:color w:val="222222"/>
          <w:szCs w:val="24"/>
          <w:shd w:val="clear" w:color="auto" w:fill="ffffff"/>
        </w:rPr>
        <w:t>Petersmann</w:t>
      </w:r>
      <w:r>
        <w:rPr>
          <w:rFonts w:cs="Times New Roman"/>
          <w:color w:val="222222"/>
          <w:szCs w:val="24"/>
          <w:shd w:val="clear" w:color="auto" w:fill="ffffff"/>
        </w:rPr>
        <w:t xml:space="preserve">, A., Müller-Wieland, D., Müller, U. A., </w:t>
      </w:r>
      <w:r>
        <w:rPr>
          <w:rFonts w:cs="Times New Roman"/>
          <w:color w:val="222222"/>
          <w:szCs w:val="24"/>
          <w:shd w:val="clear" w:color="auto" w:fill="ffffff"/>
        </w:rPr>
        <w:t>Landgraf</w:t>
      </w:r>
      <w:r>
        <w:rPr>
          <w:rFonts w:cs="Times New Roman"/>
          <w:color w:val="222222"/>
          <w:szCs w:val="24"/>
          <w:shd w:val="clear" w:color="auto" w:fill="ffffff"/>
        </w:rPr>
        <w:t xml:space="preserve">, R., </w:t>
      </w:r>
      <w:r>
        <w:rPr>
          <w:rFonts w:cs="Times New Roman"/>
          <w:color w:val="222222"/>
          <w:szCs w:val="24"/>
          <w:shd w:val="clear" w:color="auto" w:fill="ffffff"/>
        </w:rPr>
        <w:t>Nauck</w:t>
      </w:r>
      <w:r>
        <w:rPr>
          <w:rFonts w:cs="Times New Roman"/>
          <w:color w:val="222222"/>
          <w:szCs w:val="24"/>
          <w:shd w:val="clear" w:color="auto" w:fill="ffffff"/>
        </w:rPr>
        <w:t xml:space="preserve">, M., </w:t>
      </w:r>
      <w:r>
        <w:rPr>
          <w:rFonts w:cs="Times New Roman"/>
          <w:color w:val="222222"/>
          <w:szCs w:val="24"/>
          <w:shd w:val="clear" w:color="auto" w:fill="ffffff"/>
        </w:rPr>
        <w:t>Freckmann</w:t>
      </w:r>
      <w:r>
        <w:rPr>
          <w:rFonts w:cs="Times New Roman"/>
          <w:color w:val="222222"/>
          <w:szCs w:val="24"/>
          <w:shd w:val="clear" w:color="auto" w:fill="ffffff"/>
        </w:rPr>
        <w:t>, G</w:t>
      </w:r>
      <w:r>
        <w:rPr>
          <w:rFonts w:cs="Times New Roman"/>
          <w:color w:val="222222"/>
          <w:szCs w:val="24"/>
          <w:shd w:val="clear" w:color="auto" w:fill="ffffff"/>
        </w:rPr>
        <w:t>., ...</w:t>
      </w:r>
      <w:r>
        <w:rPr>
          <w:rFonts w:cs="Times New Roman"/>
          <w:color w:val="222222"/>
          <w:szCs w:val="24"/>
          <w:shd w:val="clear" w:color="auto" w:fill="ffffff"/>
        </w:rPr>
        <w:t xml:space="preserve"> &amp; Schleicher, E. (2019). Definition, classification and diagnosis of diabetes mellitus. </w:t>
      </w:r>
      <w:r>
        <w:rPr>
          <w:rFonts w:cs="Times New Roman"/>
          <w:i/>
          <w:iCs/>
          <w:color w:val="222222"/>
          <w:szCs w:val="24"/>
          <w:shd w:val="clear" w:color="auto" w:fill="ffffff"/>
        </w:rPr>
        <w:t>Experimental and Clinical Endocrinology &amp; Diabetes</w:t>
      </w:r>
      <w:r>
        <w:rPr>
          <w:rFonts w:cs="Times New Roman"/>
          <w:color w:val="222222"/>
          <w:szCs w:val="24"/>
          <w:shd w:val="clear" w:color="auto" w:fill="ffffff"/>
        </w:rPr>
        <w:t>, </w:t>
      </w:r>
      <w:r>
        <w:rPr>
          <w:rFonts w:cs="Times New Roman"/>
          <w:i/>
          <w:iCs/>
          <w:color w:val="222222"/>
          <w:szCs w:val="24"/>
          <w:shd w:val="clear" w:color="auto" w:fill="ffffff"/>
        </w:rPr>
        <w:t>127</w:t>
      </w:r>
      <w:r>
        <w:rPr>
          <w:rFonts w:cs="Times New Roman"/>
          <w:color w:val="222222"/>
          <w:szCs w:val="24"/>
          <w:shd w:val="clear" w:color="auto" w:fill="ffffff"/>
        </w:rPr>
        <w:t>(S 01), S1-S7.</w:t>
      </w:r>
    </w:p>
    <w:p>
      <w:pPr>
        <w:pStyle w:val="style0"/>
        <w:spacing w:lineRule="auto" w:line="480"/>
        <w:rPr>
          <w:rFonts w:cs="Times New Roman"/>
          <w:color w:val="222222"/>
          <w:szCs w:val="24"/>
          <w:shd w:val="clear" w:color="auto" w:fill="ffffff"/>
        </w:rPr>
      </w:pPr>
      <w:r>
        <w:rPr>
          <w:rFonts w:cs="Times New Roman"/>
          <w:color w:val="222222"/>
          <w:szCs w:val="24"/>
          <w:shd w:val="clear" w:color="auto" w:fill="ffffff"/>
        </w:rPr>
        <w:t>Qaseem</w:t>
      </w:r>
      <w:r>
        <w:rPr>
          <w:rFonts w:cs="Times New Roman"/>
          <w:color w:val="222222"/>
          <w:szCs w:val="24"/>
          <w:shd w:val="clear" w:color="auto" w:fill="ffffff"/>
        </w:rPr>
        <w:t xml:space="preserve">, A., Barry, M. J., Humphrey, L. L., &amp; </w:t>
      </w:r>
      <w:r>
        <w:rPr>
          <w:rFonts w:cs="Times New Roman"/>
          <w:color w:val="222222"/>
          <w:szCs w:val="24"/>
          <w:shd w:val="clear" w:color="auto" w:fill="ffffff"/>
        </w:rPr>
        <w:t>Forciea</w:t>
      </w:r>
      <w:r>
        <w:rPr>
          <w:rFonts w:cs="Times New Roman"/>
          <w:color w:val="222222"/>
          <w:szCs w:val="24"/>
          <w:shd w:val="clear" w:color="auto" w:fill="ffffff"/>
        </w:rPr>
        <w:t>, M. A. (2017). Oral pharmacologic treatment of type 2 diabetes mellitus: a clinical practice guideline update from the American College of Physicians. </w:t>
      </w:r>
      <w:r>
        <w:rPr>
          <w:rFonts w:cs="Times New Roman"/>
          <w:i/>
          <w:iCs/>
          <w:color w:val="222222"/>
          <w:szCs w:val="24"/>
          <w:shd w:val="clear" w:color="auto" w:fill="ffffff"/>
        </w:rPr>
        <w:t>Annals of internal medicine</w:t>
      </w:r>
      <w:r>
        <w:rPr>
          <w:rFonts w:cs="Times New Roman"/>
          <w:color w:val="222222"/>
          <w:szCs w:val="24"/>
          <w:shd w:val="clear" w:color="auto" w:fill="ffffff"/>
        </w:rPr>
        <w:t>, </w:t>
      </w:r>
      <w:r>
        <w:rPr>
          <w:rFonts w:cs="Times New Roman"/>
          <w:i/>
          <w:iCs/>
          <w:color w:val="222222"/>
          <w:szCs w:val="24"/>
          <w:shd w:val="clear" w:color="auto" w:fill="ffffff"/>
        </w:rPr>
        <w:t>166</w:t>
      </w:r>
      <w:r>
        <w:rPr>
          <w:rFonts w:cs="Times New Roman"/>
          <w:color w:val="222222"/>
          <w:szCs w:val="24"/>
          <w:shd w:val="clear" w:color="auto" w:fill="ffffff"/>
        </w:rPr>
        <w:t>(4), 279-290.</w:t>
      </w:r>
    </w:p>
    <w:p>
      <w:pPr>
        <w:pStyle w:val="style0"/>
        <w:spacing w:lineRule="auto" w:line="480"/>
        <w:rPr/>
      </w:pPr>
    </w:p>
    <w:sectPr>
      <w:headerReference w:type="default" r:id="rId2"/>
      <w:headerReference w:type="first" r:id="rId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 xml:space="preserve"> PAGE   \* MERGEFORMAT </w:instrText>
    </w:r>
    <w:r>
      <w:rPr/>
      <w:fldChar w:fldCharType="separate"/>
    </w:r>
    <w:r>
      <w:rPr>
        <w:noProof/>
      </w:rPr>
      <w:t>8</w:t>
    </w:r>
    <w:r>
      <w:rPr>
        <w:noProof/>
      </w:rPr>
      <w:fldChar w:fldCharType="end"/>
    </w:r>
  </w:p>
  <w:p>
    <w:pPr>
      <w:pStyle w:val="style0"/>
      <w:spacing w:lineRule="auto" w:line="480"/>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 xml:space="preserve"> PAGE   \* MERGEFORMAT </w:instrText>
    </w:r>
    <w:r>
      <w:rPr/>
      <w:fldChar w:fldCharType="separate"/>
    </w:r>
    <w:r>
      <w:rPr>
        <w:noProof/>
      </w:rPr>
      <w:t>1</w:t>
    </w:r>
    <w:r>
      <w:rPr>
        <w:noProof/>
      </w:rPr>
      <w:fldChar w:fldCharType="end"/>
    </w:r>
  </w:p>
  <w:p>
    <w:pPr>
      <w:pStyle w:val="style0"/>
      <w:spacing w:lineRule="auto" w:line="4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89C6AB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hybridMultilevel"/>
    <w:tmpl w:val="7D5EE34E"/>
    <w:lvl w:ilvl="0" w:tplc="FFAC28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0000002"/>
    <w:multiLevelType w:val="hybridMultilevel"/>
    <w:tmpl w:val="FFFAB63A"/>
    <w:lvl w:ilvl="0" w:tplc="8E024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3"/>
    <w:multiLevelType w:val="multilevel"/>
    <w:tmpl w:val="A21A5A3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hybridMultilevel"/>
    <w:tmpl w:val="541E9A22"/>
    <w:lvl w:ilvl="0" w:tplc="03866E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0000005"/>
    <w:multiLevelType w:val="multilevel"/>
    <w:tmpl w:val="D7FED64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宋体" w:eastAsia="Calibri" w:hAnsi="Times New Roman"/>
        <w:sz w:val="24"/>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10f756b6-57c9-4ec0-b156-464a3ef01b7e"/>
    <w:basedOn w:val="style65"/>
    <w:next w:val="style4097"/>
    <w:link w:val="style31"/>
    <w:uiPriority w:val="99"/>
  </w:style>
  <w:style w:type="character" w:styleId="style85">
    <w:name w:val="Hyperlink"/>
    <w:basedOn w:val="style65"/>
    <w:next w:val="style85"/>
    <w:uiPriority w:val="99"/>
    <w:rPr>
      <w:color w:val="0563c1"/>
      <w:u w:val="single"/>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2f92edff-93c7-4fb2-a27f-05c9498dd5d3"/>
    <w:basedOn w:val="style65"/>
    <w:next w:val="style4098"/>
    <w:link w:val="style32"/>
    <w:uiPriority w:val="99"/>
  </w:style>
  <w:style w:type="character" w:styleId="style87">
    <w:name w:val="Strong"/>
    <w:basedOn w:val="style65"/>
    <w:next w:val="style87"/>
    <w:qFormat/>
    <w:uiPriority w:val="22"/>
    <w:rPr>
      <w:b/>
      <w:bCs/>
    </w:r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cs="Times New Roman" w:eastAsia="Times New Roman"/>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1430</Words>
  <Pages>8</Pages>
  <Characters>8537</Characters>
  <Application>WPS Office</Application>
  <DocSecurity>0</DocSecurity>
  <Paragraphs>73</Paragraphs>
  <ScaleCrop>false</ScaleCrop>
  <LinksUpToDate>false</LinksUpToDate>
  <CharactersWithSpaces>9915</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2021-07-20T08:42:17Z</dcterms:created>
  <dc:creator>Tony Isebe</dc:creator>
  <lastModifiedBy>RMX2001</lastModifiedBy>
  <dcterms:modified xsi:type="dcterms:W3CDTF">2021-07-20T08:42:17Z</dcterms:modified>
  <revision>100</revision>
</coreProperties>
</file>

<file path=docProps/custom.xml><?xml version="1.0" encoding="utf-8"?>
<Properties xmlns="http://schemas.openxmlformats.org/officeDocument/2006/custom-properties" xmlns:vt="http://schemas.openxmlformats.org/officeDocument/2006/docPropsVTypes"/>
</file>